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jc w:val="both"/>
        <w:rPr>
          <w:lang w:val="uk-UA"/>
        </w:rPr>
      </w:pPr>
      <w:r>
        <w:rPr>
          <w:lang w:val="uk-UA"/>
        </w:rPr>
        <w:br/>
      </w:r>
      <w:r>
        <mc:AlternateContent>
          <mc:Choice Requires="wps">
            <w:drawing>
              <wp:anchor behindDoc="0" distT="0" distB="0" distL="28575" distR="28575" simplePos="0" locked="0" layoutInCell="1" allowOverlap="1" relativeHeight="2">
                <wp:simplePos x="0" y="0"/>
                <wp:positionH relativeFrom="column">
                  <wp:align>right</wp:align>
                </wp:positionH>
                <wp:positionV relativeFrom="paragraph">
                  <wp:align>center</wp:align>
                </wp:positionV>
                <wp:extent cx="2672715" cy="1094740"/>
                <wp:effectExtent l="0" t="0" r="0" b="0"/>
                <wp:wrapSquare wrapText="bothSides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715" cy="10947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text" w:leftFromText="45" w:rightFromText="45" w:tblpX="0" w:tblpXSpec="right" w:tblpY="0" w:tblpYSpec="center" w:topFromText="0" w:vertAnchor="text"/>
                              <w:tblW w:w="5000" w:type="pct"/>
                              <w:jc w:val="right"/>
                              <w:tblInd w:w="0" w:type="dxa"/>
                              <w:tblBorders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000"/>
                            </w:tblPr>
                            <w:tblGrid>
                              <w:gridCol w:w="4209"/>
                            </w:tblGrid>
                            <w:tr>
                              <w:trPr/>
                              <w:tc>
                                <w:tcPr>
                                  <w:tcW w:w="420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Web"/>
                                    <w:spacing w:beforeAutospacing="1" w:afterAutospacing="1"/>
                                    <w:rPr/>
                                  </w:pPr>
                                  <w:r>
                                    <w:rPr>
                                      <w:lang w:val="uk-UA"/>
                                    </w:rPr>
                                    <w:t>Додаток 10</w:t>
                                    <w:br/>
                                  </w:r>
                                  <w:r>
                                    <w:rPr/>
                                    <w:t xml:space="preserve"> до наказу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 Департаменту </w:t>
                                  </w:r>
                                  <w:r>
                                    <w:rPr/>
                                    <w:t xml:space="preserve">Держархбудінспекції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в Донецькій обл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br/>
                                    <w:t>___</w:t>
                                  </w:r>
                                  <w:r>
                                    <w:rPr>
                                      <w:u w:val="single"/>
                                      <w:lang w:val="uk-UA"/>
                                    </w:rPr>
                                    <w:t>20.05.2020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____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№</w:t>
                                  </w:r>
                                  <w:r>
                                    <w:rPr/>
                                    <w:t xml:space="preserve">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_____</w:t>
                                  </w:r>
                                  <w:r>
                                    <w:rPr>
                                      <w:u w:val="single"/>
                                      <w:lang w:val="uk-UA"/>
                                    </w:rPr>
                                    <w:t>7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45000</wp14:pctWidth>
                </wp14:sizeRelH>
              </wp:anchor>
            </w:drawing>
          </mc:Choice>
          <mc:Fallback>
            <w:pict>
              <v:rect style="position:absolute;rotation:0;width:210.45pt;height:86.2pt;mso-wrap-distance-left:2.25pt;mso-wrap-distance-right:2.25pt;mso-wrap-distance-top:0pt;mso-wrap-distance-bottom:0pt;margin-top:-29.3pt;mso-position-vertical:center;mso-position-vertical-relative:text;margin-left:255.05pt;mso-position-horizontal:right;mso-position-horizontal-relative:text">
                <v:textbox inset="0in,0in,0in,0in">
                  <w:txbxContent>
                    <w:tbl>
                      <w:tblPr>
                        <w:tblpPr w:bottomFromText="0" w:horzAnchor="text" w:leftFromText="45" w:rightFromText="45" w:tblpX="0" w:tblpXSpec="right" w:tblpY="0" w:tblpYSpec="center" w:topFromText="0" w:vertAnchor="text"/>
                        <w:tblW w:w="5000" w:type="pct"/>
                        <w:jc w:val="right"/>
                        <w:tblInd w:w="0" w:type="dxa"/>
                        <w:tblBorders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000"/>
                      </w:tblPr>
                      <w:tblGrid>
                        <w:gridCol w:w="4209"/>
                      </w:tblGrid>
                      <w:tr>
                        <w:trPr/>
                        <w:tc>
                          <w:tcPr>
                            <w:tcW w:w="420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Web"/>
                              <w:spacing w:beforeAutospacing="1" w:afterAutospacing="1"/>
                              <w:rPr/>
                            </w:pPr>
                            <w:r>
                              <w:rPr>
                                <w:lang w:val="uk-UA"/>
                              </w:rPr>
                              <w:t>Додаток 10</w:t>
                              <w:br/>
                            </w:r>
                            <w:r>
                              <w:rPr/>
                              <w:t xml:space="preserve"> до наказу </w:t>
                            </w:r>
                            <w:r>
                              <w:rPr>
                                <w:lang w:val="uk-UA"/>
                              </w:rPr>
                              <w:t xml:space="preserve"> Департаменту </w:t>
                            </w:r>
                            <w:r>
                              <w:rPr/>
                              <w:t xml:space="preserve">Держархбудінспекції </w:t>
                            </w:r>
                            <w:r>
                              <w:rPr>
                                <w:lang w:val="uk-UA"/>
                              </w:rPr>
                              <w:t>в Донецькій обл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br/>
                              <w:t>___</w:t>
                            </w:r>
                            <w:r>
                              <w:rPr>
                                <w:u w:val="single"/>
                                <w:lang w:val="uk-UA"/>
                              </w:rPr>
                              <w:t>20.05.2020</w:t>
                            </w:r>
                            <w:r>
                              <w:rPr>
                                <w:lang w:val="uk-UA"/>
                              </w:rPr>
                              <w:t>____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№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_____</w:t>
                            </w:r>
                            <w:r>
                              <w:rPr>
                                <w:u w:val="single"/>
                                <w:lang w:val="uk-UA"/>
                              </w:rPr>
                              <w:t>7</w:t>
                            </w:r>
                            <w:r>
                              <w:rPr>
                                <w:lang w:val="uk-UA"/>
                              </w:rPr>
                              <w:t>______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3"/>
        <w:spacing w:beforeAutospacing="0" w:before="0" w:afterAutospacing="0" w:after="0"/>
        <w:jc w:val="center"/>
        <w:rPr>
          <w:lang w:val="uk-UA"/>
        </w:rPr>
      </w:pPr>
      <w:r>
        <w:rPr>
          <w:lang w:val="uk-UA"/>
        </w:rPr>
        <w:t xml:space="preserve">Інформаційна картка адміністративної послуги з реєстрації декларації про готовність об'єкта до експлуатації </w:t>
      </w:r>
    </w:p>
    <w:p>
      <w:pPr>
        <w:pStyle w:val="3"/>
        <w:spacing w:beforeAutospacing="0" w:before="0" w:afterAutospacing="0" w:after="0"/>
        <w:jc w:val="center"/>
        <w:rPr>
          <w:u w:val="single"/>
          <w:lang w:val="uk-UA"/>
        </w:rPr>
      </w:pPr>
      <w:r>
        <w:rPr>
          <w:lang w:val="uk-UA"/>
        </w:rPr>
        <w:t>(відповідно до пункту 9 розділу V «Прикінцеві положення» Закону України «Про регулювання містобудівної діяльності»)</w:t>
      </w:r>
    </w:p>
    <w:p>
      <w:pPr>
        <w:pStyle w:val="3"/>
        <w:spacing w:beforeAutospacing="0" w:before="0" w:afterAutospacing="0" w:after="0"/>
        <w:jc w:val="center"/>
        <w:rPr>
          <w:b w:val="false"/>
          <w:b w:val="false"/>
          <w:sz w:val="24"/>
          <w:szCs w:val="24"/>
          <w:lang w:val="uk-UA"/>
        </w:rPr>
      </w:pPr>
      <w:r>
        <w:rPr>
          <w:b w:val="false"/>
          <w:sz w:val="24"/>
          <w:szCs w:val="24"/>
          <w:lang w:val="uk-UA"/>
        </w:rPr>
      </w:r>
    </w:p>
    <w:p>
      <w:pPr>
        <w:pStyle w:val="Tj"/>
        <w:shd w:val="clear" w:color="auto" w:fill="FFFFFF"/>
        <w:spacing w:beforeAutospacing="0" w:before="0" w:afterAutospacing="0" w:after="0"/>
        <w:jc w:val="center"/>
        <w:rPr>
          <w:lang w:val="uk-UA"/>
        </w:rPr>
      </w:pPr>
      <w:r>
        <w:rPr>
          <w:lang w:val="uk-UA"/>
        </w:rPr>
        <w:t xml:space="preserve">(щодо </w:t>
      </w:r>
      <w:r>
        <w:rPr>
          <w:shd w:fill="FFFFFF" w:val="clear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</w:t>
      </w:r>
      <w:r>
        <w:rPr>
          <w:lang w:val="uk-UA"/>
        </w:rPr>
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 05 серпня 1992 року по 09 квітня 2015 року; будівель і споруд сільськогосподарського призначення, збудованих до 12 березня 2011 року),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контролю)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bCs/>
          <w:u w:val="single"/>
          <w:lang w:val="uk-UA"/>
        </w:rPr>
      </w:pPr>
      <w:r>
        <w:rPr>
          <w:b/>
          <w:bCs/>
          <w:u w:val="single"/>
        </w:rPr>
        <w:t>Державна архітектурно-будівельна інспекція України</w:t>
      </w:r>
    </w:p>
    <w:p>
      <w:pPr>
        <w:pStyle w:val="3"/>
        <w:spacing w:beforeAutospacing="0" w:before="0" w:afterAutospacing="0" w:after="0"/>
        <w:jc w:val="center"/>
        <w:rPr>
          <w:bCs w:val="false"/>
          <w:sz w:val="24"/>
          <w:szCs w:val="24"/>
          <w:u w:val="single"/>
          <w:lang w:val="uk-UA"/>
        </w:rPr>
      </w:pPr>
      <w:r>
        <w:rPr>
          <w:bCs w:val="false"/>
          <w:sz w:val="24"/>
          <w:szCs w:val="24"/>
          <w:u w:val="single"/>
          <w:lang w:val="uk-UA"/>
        </w:rPr>
        <w:t>Департамент</w:t>
      </w:r>
      <w:r>
        <w:rPr>
          <w:bCs w:val="false"/>
          <w:sz w:val="24"/>
          <w:szCs w:val="24"/>
          <w:u w:val="single"/>
        </w:rPr>
        <w:t xml:space="preserve"> Державн</w:t>
      </w:r>
      <w:r>
        <w:rPr>
          <w:bCs w:val="false"/>
          <w:sz w:val="24"/>
          <w:szCs w:val="24"/>
          <w:u w:val="single"/>
          <w:lang w:val="uk-UA"/>
        </w:rPr>
        <w:t>ої</w:t>
      </w:r>
      <w:r>
        <w:rPr>
          <w:bCs w:val="false"/>
          <w:sz w:val="24"/>
          <w:szCs w:val="24"/>
          <w:u w:val="single"/>
        </w:rPr>
        <w:t xml:space="preserve"> архітектурно-будівельн</w:t>
      </w:r>
      <w:r>
        <w:rPr>
          <w:bCs w:val="false"/>
          <w:sz w:val="24"/>
          <w:szCs w:val="24"/>
          <w:u w:val="single"/>
          <w:lang w:val="uk-UA"/>
        </w:rPr>
        <w:t>ої</w:t>
      </w:r>
      <w:r>
        <w:rPr>
          <w:bCs w:val="false"/>
          <w:sz w:val="24"/>
          <w:szCs w:val="24"/>
          <w:u w:val="single"/>
        </w:rPr>
        <w:t xml:space="preserve"> інспекці</w:t>
      </w:r>
      <w:r>
        <w:rPr>
          <w:bCs w:val="false"/>
          <w:sz w:val="24"/>
          <w:szCs w:val="24"/>
          <w:u w:val="single"/>
          <w:lang w:val="uk-UA"/>
        </w:rPr>
        <w:t>ї</w:t>
      </w:r>
      <w:r>
        <w:rPr>
          <w:bCs w:val="false"/>
          <w:sz w:val="24"/>
          <w:szCs w:val="24"/>
          <w:u w:val="single"/>
        </w:rPr>
        <w:t xml:space="preserve"> </w:t>
      </w:r>
      <w:r>
        <w:rPr>
          <w:bCs w:val="false"/>
          <w:sz w:val="24"/>
          <w:szCs w:val="24"/>
          <w:u w:val="single"/>
          <w:lang w:val="uk-UA"/>
        </w:rPr>
        <w:t>в Донецькій області</w:t>
      </w:r>
    </w:p>
    <w:p>
      <w:pPr>
        <w:pStyle w:val="3"/>
        <w:spacing w:beforeAutospacing="0" w:before="0" w:afterAutospacing="0" w:after="0"/>
        <w:jc w:val="center"/>
        <w:rPr>
          <w:bCs w:val="false"/>
          <w:sz w:val="24"/>
          <w:szCs w:val="24"/>
          <w:u w:val="single"/>
          <w:lang w:val="uk-UA"/>
        </w:rPr>
      </w:pPr>
      <w:r>
        <w:rPr>
          <w:bCs w:val="false"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30" w:type="dxa"/>
          <w:left w:w="29" w:type="dxa"/>
          <w:bottom w:w="30" w:type="dxa"/>
          <w:right w:w="30" w:type="dxa"/>
        </w:tblCellMar>
        <w:tblLook w:val="0000"/>
      </w:tblPr>
      <w:tblGrid>
        <w:gridCol w:w="683"/>
        <w:gridCol w:w="2965"/>
        <w:gridCol w:w="5707"/>
      </w:tblGrid>
      <w:tr>
        <w:trPr/>
        <w:tc>
          <w:tcPr>
            <w:tcW w:w="93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Департамент Державної архітектурно-будівельної інспекції у Донецькій області</w:t>
            </w:r>
          </w:p>
          <w:p>
            <w:pPr>
              <w:pStyle w:val="Normal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84313, м. Краматорськ, бульвар Машинобудівників, 30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2.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1" w:afterAutospacing="1"/>
              <w:rPr/>
            </w:pPr>
            <w:r>
              <w:rPr/>
              <w:t>Понеділок - четвер з 9-</w:t>
            </w:r>
            <w:r>
              <w:rPr>
                <w:vertAlign w:val="superscript"/>
              </w:rPr>
              <w:t xml:space="preserve"> 00</w:t>
            </w:r>
            <w:r>
              <w:rPr/>
              <w:t xml:space="preserve"> до 18-</w:t>
            </w:r>
            <w:r>
              <w:rPr>
                <w:vertAlign w:val="superscript"/>
              </w:rPr>
              <w:t xml:space="preserve"> 00</w:t>
            </w:r>
            <w:r>
              <w:rPr/>
              <w:t>,</w:t>
              <w:br/>
              <w:t>п'ятниця з 9-</w:t>
            </w:r>
            <w:r>
              <w:rPr>
                <w:vertAlign w:val="superscript"/>
              </w:rPr>
              <w:t xml:space="preserve"> 00</w:t>
            </w:r>
            <w:r>
              <w:rPr/>
              <w:t xml:space="preserve"> до 16-</w:t>
            </w:r>
            <w:r>
              <w:rPr>
                <w:vertAlign w:val="superscript"/>
              </w:rPr>
              <w:t xml:space="preserve"> 45</w:t>
            </w:r>
            <w:r>
              <w:rPr/>
              <w:t>,</w:t>
              <w:br/>
              <w:t>перерва з 13-</w:t>
            </w:r>
            <w:r>
              <w:rPr>
                <w:vertAlign w:val="superscript"/>
              </w:rPr>
              <w:t xml:space="preserve"> 00</w:t>
            </w:r>
            <w:r>
              <w:rPr/>
              <w:t xml:space="preserve"> до 13-</w:t>
            </w:r>
            <w:r>
              <w:rPr>
                <w:vertAlign w:val="superscript"/>
              </w:rPr>
              <w:t xml:space="preserve"> 45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3.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Телефон/факс (довідки), адреса електронної пошти та вебсайт суб'єкта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 xml:space="preserve">тел. 095-750-86-44 </w:t>
            </w:r>
          </w:p>
          <w:p>
            <w:pPr>
              <w:pStyle w:val="Normal"/>
              <w:rPr/>
            </w:pPr>
            <w:r>
              <w:rPr>
                <w:lang w:val="uk-UA"/>
              </w:rPr>
              <w:t xml:space="preserve">Е-mail: </w:t>
            </w:r>
            <w:hyperlink r:id="rId2">
              <w:r>
                <w:rPr>
                  <w:rStyle w:val="Style12"/>
                  <w:lang w:val="en-US"/>
                </w:rPr>
                <w:t>donetsk</w:t>
              </w:r>
              <w:r>
                <w:rPr>
                  <w:rStyle w:val="Style12"/>
                </w:rPr>
                <w:t>@</w:t>
              </w:r>
              <w:r>
                <w:rPr>
                  <w:rStyle w:val="Style12"/>
                  <w:lang w:val="en-US"/>
                </w:rPr>
                <w:t>dabi</w:t>
              </w:r>
              <w:r>
                <w:rPr>
                  <w:rStyle w:val="Style12"/>
                </w:rPr>
                <w:t>.</w:t>
              </w:r>
              <w:r>
                <w:rPr>
                  <w:rStyle w:val="Style12"/>
                  <w:lang w:val="en-US"/>
                </w:rPr>
                <w:t>gov</w:t>
              </w:r>
              <w:r>
                <w:rPr>
                  <w:rStyle w:val="Style12"/>
                </w:rPr>
                <w:t>.</w:t>
              </w:r>
              <w:r>
                <w:rPr>
                  <w:rStyle w:val="Style12"/>
                  <w:lang w:val="en-US"/>
                </w:rPr>
                <w:t>ua</w:t>
              </w:r>
            </w:hyperlink>
            <w:r>
              <w:rPr>
                <w:lang w:val="uk-UA"/>
              </w:rPr>
              <w:t xml:space="preserve">, </w:t>
            </w:r>
          </w:p>
          <w:p>
            <w:pPr>
              <w:pStyle w:val="NormalWeb"/>
              <w:spacing w:beforeAutospacing="1" w:afterAutospacing="1"/>
              <w:rPr/>
            </w:pPr>
            <w:hyperlink r:id="rId3">
              <w:r>
                <w:rPr>
                  <w:rStyle w:val="Style12"/>
                  <w:lang w:val="en-US"/>
                </w:rPr>
                <w:t>www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  <w:lang w:val="en-US"/>
                </w:rPr>
                <w:t>dabi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  <w:lang w:val="en-US"/>
                </w:rPr>
                <w:t>gov</w:t>
              </w:r>
              <w:r>
                <w:rPr>
                  <w:rStyle w:val="Style12"/>
                  <w:lang w:val="uk-UA"/>
                </w:rPr>
                <w:t>.</w:t>
              </w:r>
              <w:r>
                <w:rPr>
                  <w:rStyle w:val="Style12"/>
                  <w:lang w:val="en-US"/>
                </w:rPr>
                <w:t>ua</w:t>
              </w:r>
            </w:hyperlink>
          </w:p>
        </w:tc>
      </w:tr>
      <w:tr>
        <w:trPr/>
        <w:tc>
          <w:tcPr>
            <w:tcW w:w="93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4.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1" w:afterAutospacing="1"/>
              <w:rPr>
                <w:lang w:val="uk-UA"/>
              </w:rPr>
            </w:pPr>
            <w:r>
              <w:rPr>
                <w:lang w:val="uk-UA"/>
              </w:rPr>
              <w:t>Закон України «Про регулювання містобудівної діяльності», пункт 9 розділу V «Прикінцеві положення».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5.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color w:val="000000"/>
                <w:shd w:fill="FFFFFF" w:val="clear"/>
              </w:rPr>
              <w:t>Акти центральних органів виконавчої влади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2"/>
              <w:shd w:val="clear" w:color="auto" w:fill="FFFFFF"/>
              <w:spacing w:before="0" w:after="0"/>
              <w:rPr>
                <w:rFonts w:ascii="Times New Roman" w:hAnsi="Times New Roman" w:cs="Times New Roman"/>
                <w:b w:val="false"/>
                <w:b w:val="false"/>
                <w:bCs w:val="false"/>
                <w:color w:val="2A2928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 03 липня 2018 р. № 158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uk-UA"/>
              </w:rPr>
              <w:t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документа на виконання будівельних робіт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  <w:lang w:val="uk-UA"/>
              </w:rPr>
              <w:t xml:space="preserve">», </w:t>
            </w:r>
            <w:r>
              <w:rPr>
                <w:rFonts w:cs="Times New Roman" w:ascii="Times New Roman" w:hAnsi="Times New Roman"/>
                <w:b w:val="false"/>
                <w:color w:val="00000A"/>
                <w:sz w:val="24"/>
                <w:szCs w:val="24"/>
                <w:shd w:fill="FFFFFF" w:val="clear"/>
                <w:lang w:val="uk-UA"/>
              </w:rPr>
              <w:t>зареєстрований в Міністерстві юстиції України 28 серпня 2018 року за № 976/32428 (із змінами).</w:t>
            </w:r>
          </w:p>
        </w:tc>
      </w:tr>
      <w:tr>
        <w:trPr/>
        <w:tc>
          <w:tcPr>
            <w:tcW w:w="93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6.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1" w:afterAutospacing="1"/>
              <w:rPr>
                <w:lang w:val="uk-UA"/>
              </w:rPr>
            </w:pPr>
            <w:r>
              <w:rPr>
                <w:lang w:val="uk-UA"/>
              </w:rPr>
              <w:t xml:space="preserve">Прийняття в експлуатацію </w:t>
            </w:r>
            <w:r>
              <w:rPr>
                <w:shd w:fill="FFFFFF" w:val="clear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 квітня 2015 року; будівель і споруд сільськогосподарського призначення, збудованих до 12 березня 2011 року.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7.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"/>
              <w:shd w:val="clear" w:color="auto" w:fill="FFFFFF"/>
              <w:rPr/>
            </w:pPr>
            <w:r>
              <w:rPr>
                <w:lang w:val="uk-UA"/>
              </w:rPr>
              <w:t>З</w:t>
            </w:r>
            <w:r>
              <w:rPr/>
              <w:t>аяв</w:t>
            </w:r>
            <w:r>
              <w:rPr>
                <w:lang w:val="uk-UA"/>
              </w:rPr>
              <w:t>а</w:t>
            </w:r>
            <w:r>
              <w:rPr/>
              <w:t xml:space="preserve"> про прийняття в експлуатацію об'єкта, до якої додаються: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1) один примірник заповненої декларації;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2) звіт (крім</w:t>
            </w:r>
            <w:r>
              <w:rPr>
                <w:lang w:val="uk-UA"/>
              </w:rPr>
              <w:t xml:space="preserve"> випадків прийняття в експлуатацію </w:t>
            </w:r>
            <w:r>
              <w:rPr>
                <w:shd w:fill="FFFFFF" w:val="clear"/>
              </w:rPr>
              <w:t>індивідуальних (садибних) житлових будинків, садових, дачних будинків загальною площею до 300</w:t>
            </w:r>
            <w:r>
              <w:rPr>
                <w:shd w:fill="FFFFFF" w:val="clear"/>
                <w:lang w:val="uk-UA"/>
              </w:rPr>
              <w:t> </w:t>
            </w:r>
            <w:r>
              <w:rPr>
                <w:shd w:fill="FFFFFF" w:val="clear"/>
              </w:rPr>
              <w:t>квадратних метрів включно, а також господарських (присадибних) будівель і споруд загальною площею до 100 квадратних метрів включно</w:t>
            </w:r>
            <w:r>
              <w:rPr/>
              <w:t>);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3) засвідчені в установленому порядку копії: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lang w:val="uk-UA"/>
              </w:rPr>
              <w:t xml:space="preserve">- </w:t>
            </w:r>
            <w:r>
              <w:rPr/>
              <w:t>документа, що посвідчує право власності чи користування земельною ділянкою відповідного цільового призначення, на якій розміщено об'єкт;</w:t>
            </w:r>
          </w:p>
          <w:p>
            <w:pPr>
              <w:pStyle w:val="Normal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/>
              <w:t>технічного паспорта (з відміткою</w:t>
            </w:r>
            <w:r>
              <w:rPr>
                <w:lang w:val="uk-UA"/>
              </w:rPr>
              <w:t xml:space="preserve"> про проведення технічного обстеження –</w:t>
            </w:r>
            <w:r>
              <w:rPr/>
              <w:t xml:space="preserve"> у випадк</w:t>
            </w:r>
            <w:r>
              <w:rPr>
                <w:lang w:val="uk-UA"/>
              </w:rPr>
              <w:t>у</w:t>
            </w:r>
            <w:r>
              <w:rPr/>
              <w:t xml:space="preserve"> </w:t>
            </w:r>
            <w:r>
              <w:rPr>
                <w:lang w:val="uk-UA"/>
              </w:rPr>
              <w:t xml:space="preserve">прийняття в експлуатацію </w:t>
            </w:r>
            <w:r>
              <w:rPr>
                <w:shd w:fill="FFFFFF" w:val="clear"/>
              </w:rPr>
              <w:t>індивідуальних (садибних) житлових будинків, садових, дачних будинків загальною площею до 300</w:t>
            </w:r>
            <w:r>
              <w:rPr>
                <w:shd w:fill="FFFFFF" w:val="clear"/>
                <w:lang w:val="uk-UA"/>
              </w:rPr>
              <w:t> </w:t>
            </w:r>
            <w:r>
              <w:rPr>
                <w:shd w:fill="FFFFFF" w:val="clear"/>
              </w:rPr>
              <w:t>квадратних метрів включно, а також господарських (присадибних) будівель і споруд загальною площею до 100 квадратних метрів включно</w:t>
            </w:r>
            <w:r>
              <w:rPr/>
              <w:t>).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 xml:space="preserve">Технічні паспорти, складені до </w:t>
            </w:r>
            <w:r>
              <w:rPr>
                <w:lang w:val="uk-UA"/>
              </w:rPr>
              <w:t>31 серпня 2018 року</w:t>
            </w:r>
            <w:r>
              <w:rPr/>
              <w:t xml:space="preserve"> щодо індивідуальних (садибних) житлових будинків, садових, дачних будинків загальною площею до 300 квадратних метрів включно, а також господарських (присадибних) будівель і споруд загальною площею до 100 квадратних метрів включно подаються за умови проставлення в них відповідної відмітки про проведення їх технічного обстеження.</w:t>
            </w:r>
          </w:p>
          <w:p>
            <w:pPr>
              <w:pStyle w:val="Normal"/>
              <w:shd w:val="clear" w:color="auto" w:fill="FFFFFF"/>
              <w:rPr/>
            </w:pPr>
            <w:r>
              <w:rPr/>
              <w:t>Заяву про прийняття в експлуатацію об'єкта підписують також співвласники земельної ділянки та/або зазначеного об'єкта (у разі їх наявності).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8.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 xml:space="preserve">Подається замовником (або уповноваженою особою) </w:t>
            </w:r>
            <w:r>
              <w:rPr/>
              <w:t>через центр надання адміністративних послуг або через електронний кабінет замовника</w:t>
            </w:r>
            <w:r>
              <w:rPr>
                <w:lang w:val="uk-UA"/>
              </w:rPr>
              <w:t>.</w:t>
            </w:r>
          </w:p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>
        <w:trPr/>
        <w:tc>
          <w:tcPr>
            <w:tcW w:w="935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9.1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9.2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9.3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10.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>Десять робочих днів з дня подання відповідної заяви та документів.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0" w:before="0" w:afterAutospacing="0" w:after="0"/>
              <w:rPr>
                <w:lang w:val="uk-UA"/>
              </w:rPr>
            </w:pPr>
            <w:r>
              <w:rPr>
                <w:lang w:val="uk-UA"/>
              </w:rPr>
              <w:t xml:space="preserve">Подання чи оформлення декларації та поданих документів з порушенням установлених вимог, </w:t>
            </w:r>
            <w:r>
              <w:rPr>
                <w:shd w:fill="FFFFFF" w:val="clear"/>
                <w:lang w:val="uk-UA"/>
              </w:rPr>
              <w:t>у тому числі у разі виявлення невідповідності поданих документів вимогам законодавства, недостовірних відомостей у поданих документах.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12.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1" w:afterAutospacing="1"/>
              <w:rPr>
                <w:lang w:val="uk-UA"/>
              </w:rPr>
            </w:pPr>
            <w:r>
              <w:rPr>
                <w:lang w:val="uk-UA"/>
              </w:rPr>
              <w:t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(далі – реєстр).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13.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Autospacing="1" w:afterAutospacing="1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Інформація розміщується в реєстрі на офіційному сайті Держархбудінспекції у розділі «Реєстр дозвільних документів».</w:t>
            </w:r>
          </w:p>
        </w:tc>
      </w:tr>
      <w:tr>
        <w:trPr/>
        <w:tc>
          <w:tcPr>
            <w:tcW w:w="6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14.</w:t>
            </w:r>
          </w:p>
        </w:tc>
        <w:tc>
          <w:tcPr>
            <w:tcW w:w="2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NormalWeb"/>
              <w:spacing w:before="280" w:after="280"/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tcMar>
              <w:left w:w="29" w:type="dxa"/>
            </w:tcMar>
          </w:tcPr>
          <w:p>
            <w:pPr>
              <w:pStyle w:val="Tj"/>
              <w:shd w:val="clear" w:color="auto" w:fill="FFFFFF"/>
              <w:spacing w:beforeAutospacing="0" w:before="0" w:afterAutospacing="0" w:after="0"/>
              <w:jc w:val="both"/>
              <w:rPr>
                <w:color w:val="2A2928"/>
              </w:rPr>
            </w:pPr>
            <w:r>
              <w:rPr>
                <w:lang w:val="uk-UA"/>
              </w:rPr>
              <w:t> </w:t>
            </w:r>
          </w:p>
        </w:tc>
      </w:tr>
    </w:tbl>
    <w:p>
      <w:pPr>
        <w:pStyle w:val="NormalWeb"/>
        <w:jc w:val="center"/>
        <w:rPr>
          <w:lang w:val="uk-UA"/>
        </w:rPr>
      </w:pPr>
      <w:r>
        <w:rPr>
          <w:lang w:val="uk-UA"/>
        </w:rPr>
        <w:br/>
      </w:r>
    </w:p>
    <w:p>
      <w:pPr>
        <w:pStyle w:val="NormalWeb"/>
        <w:jc w:val="both"/>
        <w:rPr>
          <w:lang w:val="uk-UA"/>
        </w:rPr>
      </w:pPr>
      <w:r>
        <w:rPr>
          <w:lang w:val="uk-UA"/>
        </w:rPr>
        <w:t> 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054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unhideWhenUsed/>
    <w:qFormat/>
    <w:rsid w:val="005b4ce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qFormat/>
    <w:rsid w:val="00380546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380546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b4ce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Rvts9" w:customStyle="1">
    <w:name w:val="rvts9"/>
    <w:basedOn w:val="DefaultParagraphFont"/>
    <w:qFormat/>
    <w:rsid w:val="00297883"/>
    <w:rPr/>
  </w:style>
  <w:style w:type="character" w:styleId="Style12">
    <w:name w:val="Гіперпосилання"/>
    <w:basedOn w:val="DefaultParagraphFont"/>
    <w:unhideWhenUsed/>
    <w:rsid w:val="00297883"/>
    <w:rPr>
      <w:color w:val="0000FF"/>
      <w:u w:val="single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9e0d44"/>
    <w:rPr>
      <w:rFonts w:ascii="Tahoma" w:hAnsi="Tahoma" w:eastAsia="Times New Roman" w:cs="Tahoma"/>
      <w:sz w:val="16"/>
      <w:szCs w:val="16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777f2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9"/>
    <w:uiPriority w:val="99"/>
    <w:semiHidden/>
    <w:qFormat/>
    <w:rsid w:val="008777f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b"/>
    <w:uiPriority w:val="99"/>
    <w:semiHidden/>
    <w:qFormat/>
    <w:rsid w:val="008777f2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80546"/>
    <w:pPr>
      <w:spacing w:beforeAutospacing="1" w:afterAutospacing="1"/>
    </w:pPr>
    <w:rPr/>
  </w:style>
  <w:style w:type="paragraph" w:styleId="Tj" w:customStyle="1">
    <w:name w:val="tj"/>
    <w:basedOn w:val="Normal"/>
    <w:qFormat/>
    <w:rsid w:val="00b605e7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8785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9e0d44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a"/>
    <w:uiPriority w:val="99"/>
    <w:semiHidden/>
    <w:unhideWhenUsed/>
    <w:qFormat/>
    <w:rsid w:val="008777f2"/>
    <w:pPr/>
    <w:rPr>
      <w:sz w:val="20"/>
      <w:szCs w:val="20"/>
    </w:rPr>
  </w:style>
  <w:style w:type="paragraph" w:styleId="Annotationsubject">
    <w:name w:val="annotation subject"/>
    <w:basedOn w:val="Annotationtext"/>
    <w:link w:val="ac"/>
    <w:uiPriority w:val="99"/>
    <w:semiHidden/>
    <w:unhideWhenUsed/>
    <w:qFormat/>
    <w:rsid w:val="008777f2"/>
    <w:pPr/>
    <w:rPr>
      <w:b/>
      <w:bCs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netsk@dabi.gov.ua" TargetMode="External"/><Relationship Id="rId3" Type="http://schemas.openxmlformats.org/officeDocument/2006/relationships/hyperlink" Target="http://www.dabi.gov.ua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607A-B73C-4840-BC60-40068FFC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5</Pages>
  <Words>809</Words>
  <Characters>5737</Characters>
  <CharactersWithSpaces>6496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2020-05-21T08:26:00Z</dcterms:created>
  <dc:creator>ШАВУРСЬКА Марина Леонідівна</dc:creator>
  <dc:description/>
  <dc:language>uk-UA</dc:language>
  <cp:lastModifiedBy>User</cp:lastModifiedBy>
  <cp:lastPrinted>2020-05-21T09:19:00Z</cp:lastPrinted>
  <dcterms:modified xsi:type="dcterms:W3CDTF">2020-05-21T09:20:00Z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