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r>
        <w:rPr>
          <w:rStyle w:val="Strong"/>
        </w:rPr>
        <w:t>ІНФОРМАЦІЙНА КАРТКА АДМІНІСТРАТИВНОЇ ПОСЛУГИ</w:t>
      </w:r>
    </w:p>
    <w:p>
      <w:pPr>
        <w:pStyle w:val="NormalWeb"/>
        <w:spacing w:beforeAutospacing="0" w:before="0" w:afterAutospacing="0" w:after="0"/>
        <w:jc w:val="center"/>
        <w:rPr>
          <w:u w:val="single"/>
        </w:rPr>
      </w:pPr>
      <w:r>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pPr>
        <w:pStyle w:val="Normal"/>
        <w:jc w:val="center"/>
        <w:rPr>
          <w:sz w:val="19"/>
          <w:szCs w:val="19"/>
        </w:rPr>
      </w:pPr>
      <w:r>
        <w:rPr>
          <w:sz w:val="19"/>
          <w:szCs w:val="19"/>
        </w:rPr>
        <w:t>(назва адміністративної послуги)</w:t>
      </w:r>
    </w:p>
    <w:p>
      <w:pPr>
        <w:pStyle w:val="Normal"/>
        <w:jc w:val="center"/>
        <w:rPr>
          <w:sz w:val="19"/>
          <w:szCs w:val="19"/>
        </w:rPr>
      </w:pPr>
      <w:r>
        <w:rPr>
          <w:sz w:val="19"/>
          <w:szCs w:val="19"/>
        </w:rPr>
      </w:r>
    </w:p>
    <w:p>
      <w:pPr>
        <w:pStyle w:val="Normal"/>
        <w:shd w:val="clear" w:color="auto" w:fill="FFFFFF"/>
        <w:spacing w:before="60" w:after="60"/>
        <w:jc w:val="center"/>
        <w:rPr>
          <w:b/>
          <w:b/>
          <w:bCs/>
          <w:sz w:val="22"/>
          <w:szCs w:val="22"/>
          <w:u w:val="single"/>
          <w:lang w:eastAsia="en-US"/>
        </w:rPr>
      </w:pPr>
      <w:r>
        <w:rPr>
          <w:b/>
          <w:bCs/>
          <w:sz w:val="22"/>
          <w:szCs w:val="22"/>
          <w:u w:val="single"/>
          <w:lang w:eastAsia="en-US"/>
        </w:rPr>
        <w:t xml:space="preserve">Відділ у Лиманському районі </w:t>
      </w:r>
    </w:p>
    <w:p>
      <w:pPr>
        <w:pStyle w:val="Normal"/>
        <w:shd w:val="clear" w:color="auto" w:fill="FFFFFF"/>
        <w:spacing w:before="60" w:after="60"/>
        <w:jc w:val="center"/>
        <w:rPr>
          <w:b/>
          <w:b/>
          <w:bCs/>
          <w:sz w:val="22"/>
          <w:szCs w:val="22"/>
          <w:u w:val="single"/>
        </w:rPr>
      </w:pPr>
      <w:r>
        <w:rPr>
          <w:b/>
          <w:bCs/>
          <w:sz w:val="22"/>
          <w:szCs w:val="22"/>
          <w:u w:val="single"/>
          <w:lang w:eastAsia="en-US"/>
        </w:rPr>
        <w:t>Головного управління Держгеокадастру у Донецькій області</w:t>
      </w:r>
    </w:p>
    <w:p>
      <w:pPr>
        <w:pStyle w:val="NormalWeb"/>
        <w:spacing w:beforeAutospacing="0" w:before="0" w:afterAutospacing="0" w:after="0"/>
        <w:jc w:val="center"/>
        <w:rPr>
          <w:sz w:val="19"/>
          <w:szCs w:val="19"/>
        </w:rPr>
      </w:pPr>
      <w:r>
        <w:rPr>
          <w:sz w:val="19"/>
          <w:szCs w:val="19"/>
        </w:rPr>
        <w:t>(найменування суб’єкта надання послуги)</w:t>
      </w:r>
    </w:p>
    <w:p>
      <w:pPr>
        <w:pStyle w:val="NormalWeb"/>
        <w:spacing w:beforeAutospacing="0" w:before="0" w:afterAutospacing="0" w:after="0"/>
        <w:jc w:val="center"/>
        <w:rPr/>
      </w:pPr>
      <w:r>
        <w:rPr/>
      </w:r>
    </w:p>
    <w:tbl>
      <w:tblPr>
        <w:tblW w:w="10198" w:type="dxa"/>
        <w:jc w:val="left"/>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0" w:type="dxa"/>
          <w:left w:w="135" w:type="dxa"/>
          <w:bottom w:w="150" w:type="dxa"/>
          <w:right w:w="150" w:type="dxa"/>
        </w:tblCellMar>
        <w:tblLook w:firstRow="1" w:noVBand="1" w:lastRow="0" w:firstColumn="1" w:lastColumn="0" w:noHBand="0" w:val="04a0"/>
      </w:tblPr>
      <w:tblGrid>
        <w:gridCol w:w="556"/>
        <w:gridCol w:w="4433"/>
        <w:gridCol w:w="5209"/>
      </w:tblGrid>
      <w:tr>
        <w:trPr/>
        <w:tc>
          <w:tcPr>
            <w:tcW w:w="101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Web"/>
              <w:spacing w:lineRule="atLeast" w:line="271" w:beforeAutospacing="0" w:before="0" w:afterAutospacing="0" w:after="0"/>
              <w:jc w:val="center"/>
              <w:rPr>
                <w:sz w:val="20"/>
                <w:szCs w:val="20"/>
              </w:rPr>
            </w:pPr>
            <w:r>
              <w:rPr>
                <w:rStyle w:val="Strong"/>
                <w:sz w:val="20"/>
                <w:szCs w:val="20"/>
              </w:rPr>
              <w:t>Інформація про центр надання адміністративних послуг</w:t>
            </w:r>
          </w:p>
        </w:tc>
      </w:tr>
      <w:tr>
        <w:trPr/>
        <w:tc>
          <w:tcPr>
            <w:tcW w:w="49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 </w:t>
            </w:r>
            <w:r>
              <w:rPr/>
              <w:t>Центр надання адміністративних послуг виконавчого комітету Лиманської міської ради Донецької області</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Місцезнаходження центру надання адміністративних послуг</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jc w:val="center"/>
              <w:rPr/>
            </w:pPr>
            <w:r>
              <w:rPr/>
              <w:t xml:space="preserve">84406, Донецька область, м. Лиман, </w:t>
            </w:r>
          </w:p>
          <w:p>
            <w:pPr>
              <w:pStyle w:val="Normal"/>
              <w:jc w:val="center"/>
              <w:rPr/>
            </w:pPr>
            <w:r>
              <w:rPr/>
              <w:t>вул. Незалежності,46</w:t>
            </w:r>
          </w:p>
          <w:p>
            <w:pPr>
              <w:pStyle w:val="Normal"/>
              <w:spacing w:lineRule="atLeast" w:line="225"/>
              <w:rPr>
                <w:sz w:val="20"/>
                <w:szCs w:val="20"/>
              </w:rPr>
            </w:pPr>
            <w:r>
              <w:rPr>
                <w:sz w:val="20"/>
                <w:szCs w:val="20"/>
              </w:rPr>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2.</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Інформація щодо режиму роботи центру надання адміністративних послуг</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jc w:val="center"/>
              <w:rPr/>
            </w:pPr>
            <w:r>
              <w:rPr>
                <w:sz w:val="20"/>
                <w:szCs w:val="20"/>
              </w:rPr>
              <w:t>Понеділок – вівторок з 8:00 до 15:00</w:t>
            </w:r>
          </w:p>
          <w:p>
            <w:pPr>
              <w:pStyle w:val="Normal"/>
              <w:jc w:val="center"/>
              <w:rPr/>
            </w:pPr>
            <w:r>
              <w:rPr>
                <w:sz w:val="20"/>
                <w:szCs w:val="20"/>
              </w:rPr>
              <w:t>Середа з  8:00 до 20:00</w:t>
            </w:r>
          </w:p>
          <w:p>
            <w:pPr>
              <w:pStyle w:val="Normal"/>
              <w:jc w:val="center"/>
              <w:rPr/>
            </w:pPr>
            <w:r>
              <w:rPr>
                <w:sz w:val="20"/>
                <w:szCs w:val="20"/>
              </w:rPr>
              <w:t>Четвер  – п’ятниця  з 8:00 до 15:00</w:t>
            </w:r>
          </w:p>
          <w:p>
            <w:pPr>
              <w:pStyle w:val="Normal"/>
              <w:jc w:val="center"/>
              <w:rPr>
                <w:sz w:val="20"/>
                <w:szCs w:val="20"/>
              </w:rPr>
            </w:pPr>
            <w:r>
              <w:rPr>
                <w:sz w:val="20"/>
                <w:szCs w:val="20"/>
              </w:rPr>
              <w:t>Без перерви,</w:t>
            </w:r>
          </w:p>
          <w:p>
            <w:pPr>
              <w:pStyle w:val="Normal"/>
              <w:spacing w:lineRule="atLeast" w:line="225"/>
              <w:jc w:val="center"/>
              <w:rPr>
                <w:sz w:val="20"/>
                <w:szCs w:val="20"/>
              </w:rPr>
            </w:pPr>
            <w:r>
              <w:rPr>
                <w:sz w:val="20"/>
                <w:szCs w:val="20"/>
              </w:rPr>
              <w:t>Субота, неділя - вихідний</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3.</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before="60" w:after="0"/>
              <w:jc w:val="center"/>
              <w:rPr>
                <w:lang w:val="en-US"/>
              </w:rPr>
            </w:pPr>
            <w:r>
              <w:rPr/>
              <w:t>(06261) 4-12-70, 4-10-67, 4-14-40</w:t>
            </w:r>
          </w:p>
          <w:p>
            <w:pPr>
              <w:pStyle w:val="Normal"/>
              <w:spacing w:before="60" w:after="0"/>
              <w:jc w:val="center"/>
              <w:rPr>
                <w:lang w:val="en-US"/>
              </w:rPr>
            </w:pPr>
            <w:r>
              <w:rPr>
                <w:lang w:val="en-US"/>
              </w:rPr>
              <w:t>kr</w:t>
            </w:r>
            <w:r>
              <w:rPr/>
              <w:t>і</w:t>
            </w:r>
            <w:r>
              <w:rPr>
                <w:lang w:val="en-US"/>
              </w:rPr>
              <w:t>liman.gov.ua</w:t>
            </w:r>
          </w:p>
          <w:p>
            <w:pPr>
              <w:pStyle w:val="Normal"/>
              <w:spacing w:lineRule="atLeast" w:line="225"/>
              <w:rPr>
                <w:sz w:val="20"/>
                <w:szCs w:val="20"/>
              </w:rPr>
            </w:pPr>
            <w:r>
              <w:rPr>
                <w:sz w:val="20"/>
                <w:szCs w:val="20"/>
              </w:rPr>
            </w:r>
          </w:p>
        </w:tc>
      </w:tr>
      <w:tr>
        <w:trPr/>
        <w:tc>
          <w:tcPr>
            <w:tcW w:w="101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Web"/>
              <w:spacing w:lineRule="atLeast" w:line="271" w:beforeAutospacing="0" w:before="0" w:afterAutospacing="0" w:after="0"/>
              <w:jc w:val="center"/>
              <w:rPr>
                <w:sz w:val="20"/>
                <w:szCs w:val="20"/>
              </w:rPr>
            </w:pPr>
            <w:r>
              <w:rPr>
                <w:rStyle w:val="Strong"/>
                <w:sz w:val="20"/>
                <w:szCs w:val="20"/>
              </w:rPr>
              <w:t>Нормативні акти, якими регламентується надання адміністративної послуги</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4.</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Закони України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Стаття 32 Закону України «Про Державний земельний кадастр»</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5.</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Акти Кабінету Міністрів України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pPr>
              <w:pStyle w:val="NormalWeb"/>
              <w:spacing w:lineRule="atLeast" w:line="271" w:beforeAutospacing="0" w:before="0" w:afterAutospacing="0" w:after="0"/>
              <w:rPr>
                <w:sz w:val="20"/>
                <w:szCs w:val="20"/>
                <w:lang w:val="uk-UA"/>
              </w:rPr>
            </w:pPr>
            <w:r>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6.</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Акти центральних органів виконавчої влади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7.</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Акти місцевих органів виконавчої влади/органів місцевого самоврядування</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r>
          </w:p>
        </w:tc>
      </w:tr>
      <w:tr>
        <w:trPr/>
        <w:tc>
          <w:tcPr>
            <w:tcW w:w="101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Web"/>
              <w:spacing w:lineRule="atLeast" w:line="271" w:beforeAutospacing="0" w:before="0" w:afterAutospacing="0" w:after="0"/>
              <w:jc w:val="center"/>
              <w:rPr>
                <w:sz w:val="20"/>
                <w:szCs w:val="20"/>
              </w:rPr>
            </w:pPr>
            <w:r>
              <w:rPr>
                <w:rStyle w:val="Strong"/>
                <w:sz w:val="20"/>
                <w:szCs w:val="20"/>
              </w:rPr>
              <w:t>Умови отримання адміністративної послуги</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8.</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Підстава для одержання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Заява про внесення відомостей (змін до них) до Державного земельного кадастру</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9.</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pStyle w:val="NormalWeb"/>
              <w:spacing w:lineRule="atLeast" w:line="271" w:beforeAutospacing="0" w:before="0" w:afterAutospacing="0" w:after="300"/>
              <w:rPr>
                <w:sz w:val="20"/>
                <w:szCs w:val="20"/>
                <w:lang w:val="uk-UA"/>
              </w:rPr>
            </w:pPr>
            <w:r>
              <w:rPr>
                <w:sz w:val="20"/>
                <w:szCs w:val="20"/>
                <w:lang w:val="uk-UA"/>
              </w:rPr>
              <w:t>2.</w:t>
            </w:r>
            <w:r>
              <w:rPr>
                <w:sz w:val="20"/>
                <w:szCs w:val="20"/>
              </w:rPr>
              <w:t> </w:t>
            </w:r>
            <w:r>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pPr>
              <w:pStyle w:val="NormalWeb"/>
              <w:spacing w:lineRule="atLeast" w:line="271" w:beforeAutospacing="0" w:before="0" w:afterAutospacing="0" w:after="300"/>
              <w:rPr>
                <w:sz w:val="20"/>
                <w:szCs w:val="20"/>
              </w:rPr>
            </w:pPr>
            <w:r>
              <w:rPr>
                <w:sz w:val="20"/>
                <w:szCs w:val="20"/>
              </w:rPr>
              <w:t>3. Електронний документ відповідно до вимог Закону України «Про Державний земельний кадастр».</w:t>
            </w:r>
          </w:p>
          <w:p>
            <w:pPr>
              <w:pStyle w:val="NormalWeb"/>
              <w:spacing w:lineRule="atLeast" w:line="271" w:beforeAutospacing="0" w:before="0" w:afterAutospacing="0" w:after="0"/>
              <w:rPr>
                <w:sz w:val="20"/>
                <w:szCs w:val="20"/>
              </w:rPr>
            </w:pPr>
            <w:r>
              <w:rPr>
                <w:sz w:val="20"/>
                <w:szCs w:val="20"/>
              </w:rPr>
              <w:t>4. Документ, який підтверджує повноваження діяти від імені заявника (у разі подання заяви уповноваженою заявником особою)</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10.</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Порядок та спосіб подання документів, необхідних для отримання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11.</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Платність (безоплатність) надання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Безоплатно</w:t>
            </w:r>
          </w:p>
          <w:p>
            <w:pPr>
              <w:pStyle w:val="NormalWeb"/>
              <w:spacing w:lineRule="atLeast" w:line="271" w:beforeAutospacing="0" w:before="0" w:afterAutospacing="0" w:after="0"/>
              <w:rPr>
                <w:sz w:val="20"/>
                <w:szCs w:val="20"/>
              </w:rPr>
            </w:pPr>
            <w:r>
              <w:rPr>
                <w:sz w:val="20"/>
                <w:szCs w:val="20"/>
              </w:rPr>
              <w:t> </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12.</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Строк надання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14 робочих днів з дня реєстрації відповідної заяви у відділі у Лиманському районі Головного управління Держгеокадастру у Донецькій області</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13.</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Перелік підстав для відмови у наданні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14.</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Результат надання адміністративної послуги</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pPr>
              <w:pStyle w:val="NormalWeb"/>
              <w:spacing w:lineRule="atLeast" w:line="271" w:beforeAutospacing="0" w:before="0" w:afterAutospacing="0" w:after="300"/>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pPr>
              <w:pStyle w:val="NormalWeb"/>
              <w:spacing w:lineRule="atLeast" w:line="271" w:beforeAutospacing="0" w:before="0" w:afterAutospacing="0" w:after="0"/>
              <w:rPr>
                <w:sz w:val="20"/>
                <w:szCs w:val="20"/>
              </w:rPr>
            </w:pPr>
            <w:r>
              <w:rPr>
                <w:sz w:val="20"/>
                <w:szCs w:val="20"/>
              </w:rPr>
              <w:t>Рішення про відмову у внесенні відомостей (змін до них) до Державного земельного кадастру</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15.</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Способи отримання відповіді (результату)</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trPr/>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rStyle w:val="Strong"/>
                <w:sz w:val="20"/>
                <w:szCs w:val="20"/>
              </w:rPr>
              <w:t>16.</w:t>
            </w:r>
          </w:p>
        </w:tc>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Примітка</w:t>
            </w:r>
          </w:p>
        </w:tc>
        <w:tc>
          <w:tcPr>
            <w:tcW w:w="5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1F1F1" w:val="clear"/>
            <w:tcMar>
              <w:left w:w="135" w:type="dxa"/>
            </w:tcMar>
            <w:vAlign w:val="center"/>
          </w:tcPr>
          <w:p>
            <w:pPr>
              <w:pStyle w:val="Normal"/>
              <w:spacing w:lineRule="atLeast" w:line="225"/>
              <w:rPr>
                <w:sz w:val="20"/>
                <w:szCs w:val="20"/>
              </w:rPr>
            </w:pPr>
            <w:r>
              <w:rPr>
                <w:sz w:val="20"/>
                <w:szCs w:val="20"/>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pPr>
        <w:pStyle w:val="NormalWeb"/>
        <w:spacing w:lineRule="atLeast" w:line="348" w:beforeAutospacing="0" w:before="0" w:afterAutospacing="0" w:after="300"/>
        <w:rPr>
          <w:rFonts w:ascii="Verdana" w:hAnsi="Verdana"/>
          <w:color w:val="444444"/>
        </w:rPr>
      </w:pPr>
      <w:r>
        <w:rPr>
          <w:rFonts w:ascii="Verdana" w:hAnsi="Verdana"/>
          <w:color w:val="444444"/>
        </w:rPr>
        <w:t> </w:t>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NormalWeb"/>
        <w:spacing w:lineRule="atLeast" w:line="348" w:beforeAutospacing="0" w:before="0" w:afterAutospacing="0" w:after="300"/>
        <w:rPr>
          <w:rFonts w:ascii="Verdana" w:hAnsi="Verdana"/>
          <w:color w:val="444444"/>
        </w:rPr>
      </w:pPr>
      <w:r>
        <w:rPr>
          <w:rFonts w:ascii="Verdana" w:hAnsi="Verdana"/>
          <w:color w:val="444444"/>
        </w:rPr>
      </w:r>
    </w:p>
    <w:p>
      <w:pPr>
        <w:pStyle w:val="Rvps14"/>
        <w:shd w:val="clear" w:color="auto" w:fill="FFFFFF"/>
        <w:spacing w:beforeAutospacing="0" w:before="150" w:afterAutospacing="0" w:after="150"/>
        <w:rPr/>
      </w:pPr>
      <w:r>
        <w:rPr/>
      </w:r>
    </w:p>
    <w:sectPr>
      <w:type w:val="nextPage"/>
      <w:pgSz w:w="11906" w:h="16838"/>
      <w:pgMar w:left="1134" w:right="1134"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settings.xml><?xml version="1.0" encoding="utf-8"?>
<w:settings xmlns:w="http://schemas.openxmlformats.org/wordprocessingml/2006/main">
  <w:zoom w:percent="90"/>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f1c26"/>
    <w:pPr>
      <w:widowControl/>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nhideWhenUsed/>
    <w:qFormat/>
    <w:rsid w:val="00c24d9f"/>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f54d0"/>
    <w:rPr/>
  </w:style>
  <w:style w:type="character" w:styleId="Spelle" w:customStyle="1">
    <w:name w:val="spelle"/>
    <w:basedOn w:val="DefaultParagraphFont"/>
    <w:qFormat/>
    <w:rsid w:val="000f54d0"/>
    <w:rPr/>
  </w:style>
  <w:style w:type="character" w:styleId="FontStyle" w:customStyle="1">
    <w:name w:val="Font Style"/>
    <w:qFormat/>
    <w:rsid w:val="00c44e93"/>
    <w:rPr>
      <w:rFonts w:cs="Courier New"/>
      <w:b/>
      <w:bCs/>
      <w:color w:val="000000"/>
      <w:sz w:val="28"/>
      <w:szCs w:val="28"/>
    </w:rPr>
  </w:style>
  <w:style w:type="character" w:styleId="Rvts0" w:customStyle="1">
    <w:name w:val="rvts0"/>
    <w:basedOn w:val="DefaultParagraphFont"/>
    <w:qFormat/>
    <w:rsid w:val="00886a0f"/>
    <w:rPr/>
  </w:style>
  <w:style w:type="character" w:styleId="Style13">
    <w:name w:val="Гіперпосилання"/>
    <w:rsid w:val="00886a0f"/>
    <w:rPr>
      <w:color w:val="0000FF"/>
      <w:u w:val="single"/>
    </w:rPr>
  </w:style>
  <w:style w:type="character" w:styleId="Pagenumber">
    <w:name w:val="page number"/>
    <w:basedOn w:val="DefaultParagraphFont"/>
    <w:qFormat/>
    <w:rsid w:val="00b3312c"/>
    <w:rPr/>
  </w:style>
  <w:style w:type="character" w:styleId="Style14" w:customStyle="1">
    <w:name w:val="Текст выноски Знак"/>
    <w:link w:val="ad"/>
    <w:qFormat/>
    <w:rsid w:val="00875006"/>
    <w:rPr>
      <w:rFonts w:ascii="Tahoma" w:hAnsi="Tahoma" w:cs="Tahoma"/>
      <w:sz w:val="16"/>
      <w:szCs w:val="16"/>
      <w:lang w:val="uk-UA"/>
    </w:rPr>
  </w:style>
  <w:style w:type="character" w:styleId="Rvts23" w:customStyle="1">
    <w:name w:val="rvts23"/>
    <w:qFormat/>
    <w:rsid w:val="00804a0f"/>
    <w:rPr/>
  </w:style>
  <w:style w:type="character" w:styleId="Rvts82" w:customStyle="1">
    <w:name w:val="rvts82"/>
    <w:qFormat/>
    <w:rsid w:val="003142d0"/>
    <w:rPr/>
  </w:style>
  <w:style w:type="character" w:styleId="Rvts46" w:customStyle="1">
    <w:name w:val="rvts46"/>
    <w:qFormat/>
    <w:rsid w:val="003142d0"/>
    <w:rPr/>
  </w:style>
  <w:style w:type="character" w:styleId="Rvts11" w:customStyle="1">
    <w:name w:val="rvts11"/>
    <w:qFormat/>
    <w:rsid w:val="003142d0"/>
    <w:rPr/>
  </w:style>
  <w:style w:type="character" w:styleId="HTML" w:customStyle="1">
    <w:name w:val="Стандартный HTML Знак"/>
    <w:link w:val="HTML"/>
    <w:uiPriority w:val="99"/>
    <w:qFormat/>
    <w:rsid w:val="003142d0"/>
    <w:rPr>
      <w:rFonts w:ascii="Courier New" w:hAnsi="Courier New" w:cs="Courier New"/>
      <w:sz w:val="21"/>
      <w:szCs w:val="21"/>
      <w:lang w:val="ru-RU" w:eastAsia="ru-RU"/>
    </w:rPr>
  </w:style>
  <w:style w:type="character" w:styleId="St42" w:customStyle="1">
    <w:name w:val="st42"/>
    <w:uiPriority w:val="99"/>
    <w:qFormat/>
    <w:rsid w:val="003142d0"/>
    <w:rPr>
      <w:color w:val="000000"/>
    </w:rPr>
  </w:style>
  <w:style w:type="character" w:styleId="Rvts80" w:customStyle="1">
    <w:name w:val="rvts80"/>
    <w:qFormat/>
    <w:rsid w:val="003142d0"/>
    <w:rPr/>
  </w:style>
  <w:style w:type="character" w:styleId="Strong">
    <w:name w:val="Strong"/>
    <w:uiPriority w:val="22"/>
    <w:qFormat/>
    <w:rsid w:val="00947356"/>
    <w:rPr>
      <w:b/>
      <w:bCs/>
    </w:rPr>
  </w:style>
  <w:style w:type="character" w:styleId="Style15">
    <w:name w:val="Виділення"/>
    <w:uiPriority w:val="20"/>
    <w:qFormat/>
    <w:rsid w:val="00947356"/>
    <w:rPr>
      <w:i/>
      <w:iCs/>
    </w:rPr>
  </w:style>
  <w:style w:type="character" w:styleId="21" w:customStyle="1">
    <w:name w:val="Заголовок 2 Знак"/>
    <w:basedOn w:val="DefaultParagraphFont"/>
    <w:link w:val="2"/>
    <w:qFormat/>
    <w:rsid w:val="00c24d9f"/>
    <w:rPr>
      <w:rFonts w:ascii="Cambria" w:hAnsi="Cambria"/>
      <w:b/>
      <w:bCs/>
      <w:i/>
      <w:iCs/>
      <w:sz w:val="28"/>
      <w:szCs w:val="28"/>
      <w:lang w:val="uk-UA"/>
    </w:rPr>
  </w:style>
  <w:style w:type="character" w:styleId="Rvts37" w:customStyle="1">
    <w:name w:val="rvts37"/>
    <w:basedOn w:val="DefaultParagraphFont"/>
    <w:qFormat/>
    <w:rsid w:val="0043430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cs="Times New Roman"/>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Times New Roman" w:cs="Times New Roman"/>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Times New Roman" w:cs="Times New Roman"/>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Times New Roman" w:cs="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Times New Roman"/>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Wingdings"/>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Wingdings"/>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Wingdings"/>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qFormat/>
    <w:rsid w:val="00a93535"/>
    <w:pPr>
      <w:spacing w:beforeAutospacing="1" w:afterAutospacing="1"/>
    </w:pPr>
    <w:rPr>
      <w:lang w:val="ru-RU"/>
    </w:rPr>
  </w:style>
  <w:style w:type="paragraph" w:styleId="Style21" w:customStyle="1">
    <w:name w:val="Знак Знак Знак Знак Знак Знак"/>
    <w:basedOn w:val="Normal"/>
    <w:qFormat/>
    <w:rsid w:val="00a93535"/>
    <w:pPr/>
    <w:rPr>
      <w:rFonts w:ascii="Verdana" w:hAnsi="Verdana" w:cs="Verdana"/>
      <w:sz w:val="20"/>
      <w:szCs w:val="20"/>
      <w:lang w:val="en-US" w:eastAsia="en-US"/>
    </w:rPr>
  </w:style>
  <w:style w:type="paragraph" w:styleId="HTMLPreformatted">
    <w:name w:val="HTML Preformatted"/>
    <w:basedOn w:val="Normal"/>
    <w:link w:val="HTML0"/>
    <w:uiPriority w:val="99"/>
    <w:qFormat/>
    <w:rsid w:val="00ca52b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1"/>
      <w:szCs w:val="21"/>
      <w:lang w:val="ru-RU"/>
    </w:rPr>
  </w:style>
  <w:style w:type="paragraph" w:styleId="Style22" w:customStyle="1">
    <w:name w:val="Нормальний текст"/>
    <w:basedOn w:val="Normal"/>
    <w:qFormat/>
    <w:rsid w:val="00b76f65"/>
    <w:pPr>
      <w:spacing w:before="120" w:after="0"/>
      <w:ind w:firstLine="567"/>
    </w:pPr>
    <w:rPr>
      <w:rFonts w:ascii="Antiqua" w:hAnsi="Antiqua"/>
      <w:sz w:val="26"/>
      <w:szCs w:val="20"/>
    </w:rPr>
  </w:style>
  <w:style w:type="paragraph" w:styleId="Style23" w:customStyle="1">
    <w:name w:val="Назва документа"/>
    <w:basedOn w:val="Normal"/>
    <w:qFormat/>
    <w:rsid w:val="00b76f65"/>
    <w:pPr>
      <w:keepNext w:val="true"/>
      <w:keepLines/>
      <w:spacing w:before="240" w:after="240"/>
      <w:jc w:val="center"/>
    </w:pPr>
    <w:rPr>
      <w:rFonts w:ascii="Antiqua" w:hAnsi="Antiqua"/>
      <w:b/>
      <w:sz w:val="26"/>
      <w:szCs w:val="20"/>
    </w:rPr>
  </w:style>
  <w:style w:type="paragraph" w:styleId="PlainText">
    <w:name w:val="Plain Text"/>
    <w:basedOn w:val="Normal"/>
    <w:qFormat/>
    <w:rsid w:val="00b87779"/>
    <w:pPr/>
    <w:rPr>
      <w:rFonts w:ascii="Courier New" w:hAnsi="Courier New" w:cs="Courier New"/>
      <w:sz w:val="20"/>
      <w:szCs w:val="20"/>
      <w:lang w:val="ru-RU"/>
    </w:rPr>
  </w:style>
  <w:style w:type="paragraph" w:styleId="Style24">
    <w:name w:val="Header"/>
    <w:basedOn w:val="Normal"/>
    <w:rsid w:val="00b3312c"/>
    <w:pPr>
      <w:tabs>
        <w:tab w:val="center" w:pos="4677" w:leader="none"/>
        <w:tab w:val="right" w:pos="9355" w:leader="none"/>
      </w:tabs>
    </w:pPr>
    <w:rPr/>
  </w:style>
  <w:style w:type="paragraph" w:styleId="Style25">
    <w:name w:val="Footer"/>
    <w:basedOn w:val="Normal"/>
    <w:rsid w:val="003d740d"/>
    <w:pPr>
      <w:tabs>
        <w:tab w:val="center" w:pos="4677" w:leader="none"/>
        <w:tab w:val="right" w:pos="9355" w:leader="none"/>
      </w:tabs>
    </w:pPr>
    <w:rPr/>
  </w:style>
  <w:style w:type="paragraph" w:styleId="BalloonText">
    <w:name w:val="Balloon Text"/>
    <w:basedOn w:val="Normal"/>
    <w:link w:val="ae"/>
    <w:qFormat/>
    <w:rsid w:val="00875006"/>
    <w:pPr/>
    <w:rPr>
      <w:rFonts w:ascii="Tahoma" w:hAnsi="Tahoma"/>
      <w:sz w:val="16"/>
      <w:szCs w:val="16"/>
    </w:rPr>
  </w:style>
  <w:style w:type="paragraph" w:styleId="Rvps12" w:customStyle="1">
    <w:name w:val="rvps12"/>
    <w:basedOn w:val="Normal"/>
    <w:qFormat/>
    <w:rsid w:val="003142d0"/>
    <w:pPr>
      <w:spacing w:beforeAutospacing="1" w:afterAutospacing="1"/>
    </w:pPr>
    <w:rPr>
      <w:lang w:eastAsia="uk-UA"/>
    </w:rPr>
  </w:style>
  <w:style w:type="paragraph" w:styleId="Rvps6" w:customStyle="1">
    <w:name w:val="rvps6"/>
    <w:basedOn w:val="Normal"/>
    <w:qFormat/>
    <w:rsid w:val="003142d0"/>
    <w:pPr>
      <w:spacing w:beforeAutospacing="1" w:afterAutospacing="1"/>
    </w:pPr>
    <w:rPr>
      <w:lang w:eastAsia="uk-UA"/>
    </w:rPr>
  </w:style>
  <w:style w:type="paragraph" w:styleId="Rvps2" w:customStyle="1">
    <w:name w:val="rvps2"/>
    <w:basedOn w:val="Normal"/>
    <w:qFormat/>
    <w:rsid w:val="003142d0"/>
    <w:pPr>
      <w:spacing w:beforeAutospacing="1" w:afterAutospacing="1"/>
    </w:pPr>
    <w:rPr>
      <w:lang w:eastAsia="uk-UA"/>
    </w:rPr>
  </w:style>
  <w:style w:type="paragraph" w:styleId="Rvps14" w:customStyle="1">
    <w:name w:val="rvps14"/>
    <w:basedOn w:val="Normal"/>
    <w:qFormat/>
    <w:rsid w:val="003142d0"/>
    <w:pPr>
      <w:spacing w:beforeAutospacing="1" w:afterAutospacing="1"/>
    </w:pPr>
    <w:rPr>
      <w:lang w:eastAsia="uk-UA"/>
    </w:rPr>
  </w:style>
  <w:style w:type="paragraph" w:styleId="ListParagraph">
    <w:name w:val="List Paragraph"/>
    <w:basedOn w:val="Normal"/>
    <w:uiPriority w:val="34"/>
    <w:qFormat/>
    <w:rsid w:val="003142d0"/>
    <w:pPr>
      <w:spacing w:before="0" w:after="0"/>
      <w:ind w:left="720" w:hanging="0"/>
      <w:contextualSpacing/>
    </w:pPr>
    <w:rPr/>
  </w:style>
  <w:style w:type="paragraph" w:styleId="Msonormal" w:customStyle="1">
    <w:name w:val="msonormal"/>
    <w:basedOn w:val="Normal"/>
    <w:qFormat/>
    <w:rsid w:val="00cb6767"/>
    <w:pPr>
      <w:spacing w:beforeAutospacing="1" w:afterAutospacing="1"/>
    </w:pPr>
    <w:rPr>
      <w:lang w:val="ru-RU"/>
    </w:rPr>
  </w:style>
  <w:style w:type="paragraph" w:styleId="ShapkaDocumentu" w:customStyle="1">
    <w:name w:val="Shapka Documentu"/>
    <w:basedOn w:val="Normal"/>
    <w:qFormat/>
    <w:rsid w:val="00900a9a"/>
    <w:pPr>
      <w:keepNext w:val="true"/>
      <w:keepLines/>
      <w:spacing w:before="0" w:after="240"/>
      <w:ind w:left="3969" w:hanging="0"/>
      <w:jc w:val="center"/>
    </w:pPr>
    <w:rPr>
      <w:rFonts w:ascii="Antiqua" w:hAnsi="Antiqua"/>
      <w:sz w:val="26"/>
      <w:szCs w:val="20"/>
    </w:rPr>
  </w:style>
  <w:style w:type="paragraph" w:styleId="Style26">
    <w:name w:val="Вміст рамки"/>
    <w:basedOn w:val="Normal"/>
    <w:qFormat/>
    <w:pPr/>
    <w:rPr/>
  </w:style>
  <w:style w:type="numbering" w:styleId="NoList" w:default="1">
    <w:name w:val="No List"/>
    <w:uiPriority w:val="99"/>
    <w:semiHidden/>
    <w:unhideWhenUsed/>
    <w:qFormat/>
  </w:style>
  <w:style w:type="numbering" w:styleId="1" w:customStyle="1">
    <w:name w:val="Немає списку1"/>
    <w:uiPriority w:val="99"/>
    <w:semiHidden/>
    <w:unhideWhenUsed/>
    <w:qFormat/>
    <w:rsid w:val="003142d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b76f6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ітка таблиці1"/>
    <w:basedOn w:val="a1"/>
    <w:uiPriority w:val="39"/>
    <w:rsid w:val="003142d0"/>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9CEF-EBA7-424B-9E00-C923CCA9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Application>LibreOffice/5.4.3.2$Windows_X86_64 LibreOffice_project/92a7159f7e4af62137622921e809f8546db437e5</Application>
  <Pages>3</Pages>
  <Words>714</Words>
  <Characters>5086</Characters>
  <CharactersWithSpaces>5741</CharactersWithSpaces>
  <Paragraphs>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2019-03-20T12:54:00Z</dcterms:created>
  <dc:creator>XTreme</dc:creator>
  <dc:description/>
  <dc:language>uk-UA</dc:language>
  <cp:lastModifiedBy/>
  <cp:lastPrinted>2020-12-18T11:02:00Z</cp:lastPrinted>
  <dcterms:modified xsi:type="dcterms:W3CDTF">2021-01-12T09:58:25Z</dcterms:modified>
  <cp:revision>305</cp:revision>
  <dc:subject/>
  <dc:title>ПРИМІРНА ФОРМА ІНФОРМАЦІЙНОЇ КАРТКИ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