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60" w:after="60"/>
        <w:jc w:val="center"/>
        <w:rPr/>
      </w:pPr>
      <w:r>
        <w:rPr>
          <w:b/>
          <w:bCs/>
          <w:caps/>
        </w:rPr>
        <w:t>ІНФОРМАЦІЙНа КАРТКа АДМІНІСТРАТИВНОЇ ПОСЛУГИ</w:t>
      </w:r>
    </w:p>
    <w:p>
      <w:pPr>
        <w:pStyle w:val="Normal"/>
        <w:shd w:val="clear" w:color="auto" w:fill="FFFFFF"/>
        <w:spacing w:before="60" w:after="60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 xml:space="preserve"> </w:t>
      </w:r>
      <w:r>
        <w:rPr>
          <w:bCs/>
          <w:caps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>
      <w:pPr>
        <w:pStyle w:val="Normal"/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назва адміністративної послуги)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Відділ у Лиманському районі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"/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"/>
        <w:gridCol w:w="3811"/>
        <w:gridCol w:w="5499"/>
      </w:tblGrid>
      <w:tr>
        <w:trPr>
          <w:trHeight w:val="318" w:hRule="exact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>
        <w:trPr>
          <w:trHeight w:val="1123" w:hRule="exact"/>
        </w:trPr>
        <w:tc>
          <w:tcPr>
            <w:tcW w:w="4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>
          <w:trHeight w:val="573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240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>
          <w:trHeight w:val="849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>
        <w:trPr>
          <w:trHeight w:val="1821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>
          <w:trHeight w:val="816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>
        <w:trPr>
          <w:trHeight w:val="1881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>
              <w:rPr>
                <w:sz w:val="20"/>
                <w:szCs w:val="20"/>
              </w:rPr>
              <w:t xml:space="preserve"> (форма запиту додається)* 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067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>
        <w:trPr>
          <w:trHeight w:val="591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>
        <w:trPr>
          <w:trHeight w:val="301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 10 робочих днів</w:t>
            </w:r>
          </w:p>
        </w:tc>
      </w:tr>
      <w:tr>
        <w:trPr>
          <w:trHeight w:val="527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>
        <w:trPr>
          <w:trHeight w:val="1026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>
        <w:trPr>
          <w:trHeight w:val="845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>
        <w:trPr>
          <w:trHeight w:val="1278" w:hRule="exac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Style w:val="Strong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Style w:val="Style15"/>
                <w:rFonts w:eastAsia="Calibri"/>
                <w:i w:val="false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 інформаційної картки адміністративної послуги</w:t>
            </w:r>
          </w:p>
        </w:tc>
      </w:tr>
    </w:tbl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spacing w:beforeAutospacing="1" w:afterAutospacing="1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rFonts w:eastAsia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2</Pages>
  <Words>409</Words>
  <Characters>2988</Characters>
  <CharactersWithSpaces>3350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2021-01-12T09:18:26Z</dcterms:modified>
  <cp:revision>304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